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esionalizam u zdravstvu: odlučivanje u praksi i znanosti (ProDeM) (HRZZ-IP-2019-04-48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đak, Marin
]]>          <w:br/>
<![CDATA[Razlikuje li se organizacijska etička klima uakademskim ustanovama? Multimetodološko istraživanje na medicinskom i filozofskom fakultetu., 2021., doktorska disertacija, Medicinski fakultet, Split. (https://www.bib.irb.hr:8443/12251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