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dinamike Jadrana pomoću naprednih mjerenja i metode asimilacije podataka (ADAM-ADRIA) (IP-2013-11-5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