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epidemiologija šećerne bolesti tip 1 u populaciji Hrvatske  (MZOS-216-1080315-02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oraska, Vesna; Rayner, N.W.; Groves, C.J.; Frayling, T.M.; Diakite, M.; Rockett, K.A.; Kwiatkowski, D.P.; Day-Williams, A.G.; McCarthy, M.I.; Zeggini, E.
]]>          <w:br/>
<![CDATA[Large-scale association analysis of TNF/LTA gene region polymorphisms in type 2 diabetes..  // BMC medical genetics, 11 (2010),  69-1 doi:10.1186/1471-2350-11-69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
]]>          <w:br/>
<![CDATA[Genome-wide meta-analysis of brachial circumference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71-171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aska, Vesna
]]>          <w:br/>
<![CDATA[Autosomal sex differences meta-analysis group. Genome-wide meta-analysis of autosomal SNP differences between men and women..  // ASHG/ICHG 2011 Meeting
]]>          <w:br/>
<![CDATA[Montréal, Kanada, 2011.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