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IL GLIKOPROTEINA U NORMALNIM I TUMORSKIM STANICAMA  (MZOS-141-0000000-00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