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a za modeliranje svojstava bioaktivnih molekula i proteina  (MZOS-098-1770495-29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Zhou, Bo; Trinajstić, Nenad
]]>          <w:br/>
<![CDATA[On sum-connectivity matrix and sum-connectivity energy of (molecular) graphs.  // Acta chimica Slovenica, 57 (2010), 3;  518-523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Bono; Putz, Mihai V.
]]>          <w:br/>
<![CDATA[Laudatio for Nenad Trinajstic at his 55th Scientific Research Anniversary.  // International journal of chemical modeling, 6 (2014), 2-3;  167-175 (podatak o recenziji nije dostupan, pregledni rad, ostalo)
]]>          <w:br/>
        </w:t>
      </w:r>
    </w:p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Janežič, Dušanka; Nikolić, Sonja
]]>          <w:br/>
<![CDATA[Professor Nenad Trinajstić: Distinguished Researcher in Mathematical Chemistry.  // Journal of Chemical Information and Modeling, 47 (2007), 3;  705-706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Lučić, Bono
]]>          <w:br/>
<![CDATA[Optimization, interpretation, and selection of molecular descriptors in structure-property models.  // Math/Chem/Comp 2016, 28th MC2 Conference, Book of Abstracts / Vančik, Hrvoj ; Cioslowski, Jerzy (ur.).
]]>          <w:br/>
<![CDATA[Zagreb: -, 2016. str. 13-13 (pozvano predavanje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Batista, Jadranko; Lučić, Bono
]]>          <w:br/>
<![CDATA[Significance verification and simplification of some often used structure-property models in molecular biosciences.  // Book of Abstracts, The 3rd Adriatic Meeting on Computational Solutions in Life Sciences / Babić, Darko ; Došlić, Nadja ; Smith, David ; Tomić, Sanja ; Vlahoviček, Kristian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Lučić, Bono
]]>          <w:br/>
<![CDATA[Quality of experimental data and the choice of validation procedure strongly determine the model properti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Lučić, Bono
]]>          <w:br/>
<![CDATA[Modeling global properties of proteins.  // Book of Abstracts, Regional Biophysics Conference 2007 / Zimanyi, Laszlo ; Kota, Zoltan ; Szalontai, Balazs (ur.).
]]>          <w:br/>
<![CDATA[Balatonfuered: -, 2007. str. 63-63 (pozvano predavanje, međunarodna recenzija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Bono
]]>          <w:br/>
<![CDATA[Kritička analiza i pojednostavljivanje bioinformatičkih modela.  // -.
]]>          <w:br/>
<![CDATA[Zagreb, Hrvatska, 201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čić, Bono
]]>          <w:br/>
<![CDATA[Modeliranje sekundarne strukture proteina - pregled metoda i mogućnosti poboljš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