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MOLEKULSKA DJELOVANJA KOLOIDA HRANE I KONTROLA SVOJSTAVA NA NANORAZINI  (178-1780469-3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