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međudjelovanja  i prijenos u vodenim otopinama s primjenama  (MZOS-177-1770508-0480)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Marčelja, Stjepan
]]>          <w:br/>
<![CDATA[Hydration forces near charged interfaces in terms of effective ion potentials.  // Current opinion in colloid & interface science, 16 (2011), 6;  579-583 doi:10.1016/j.cocis.2011.04.001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Perera, Aurélien; Sokolić, Franjo; Redha, Mazighi
]]>          <w:br/>
<![CDATA[La microstructure dans les alcools simples.  // Journées Simulation Numérique Treiziéme édition
]]>          <w:br/>
<![CDATA[Pariz, 2007. str. 20-21 (predavanje, sažetak, znanstveni)
]]>          <w:br/>
        </w:t>
      </w:r>
    </w:p>
    <w:p>
      <w:pPr/>
      <w:r>
        <w:rPr/>
        <w:t xml:space="preserve">
<![CDATA[Zoranić, Larisa; Sokolić, Franjo; Perera, Aurélien
]]>          <w:br/>
<![CDATA[Microheterogeneity in aqueous mixtures.  // The 2nd Opatija Meeting on Computational Solutions in the Life Science / Babić, Darko ; Došlić, Nađa ; Smith, David ; Tomić, Sanja ; Vlahoviček, Kristian (ur.).
]]>          <w:br/>
<![CDATA[Zagreb: Centre for Computional Solutions in the Life Science, Ruđer Bošković Institute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