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subkortikalnih struktura u epileptogenezi u razvojnoj dobi  (MZOS-108-1081870-1886)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Grđan, Petra; Barišić Nina
]]>          <w:br/>
<![CDATA[Dijagnostika i terapija neuromuskularnih bolesti: neuromuskularne bolesti- novosti u dijagnostici i terapij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; von Au, Katja; Radoš, Marko; Pažanin, Leo; Galić, Slobodan; Cvitković, Miran; Novak, Milivoj, Lochmüller, Hanns; Sperling, K; Lehman, Ivan, Varon R
]]>          <w:br/>
<![CDATA[Infantile spinal muscular atrophy with respiratory distress type 1 (SMARD1) associated with delayed CNS myelination and novel mutation in IGHMBP2 gene.  // European Journal of Paediatric Neurology
]]>          <w:br/>
<![CDATA[Kuşadası, Turska: Elsevier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