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Higgsovim bozonom i novom fizikom detektorom CMS  (MZOS-023-0982887-3064)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->ZZ(*)->4l.  // The Four Seas Conference
]]>          <w:br/>
<![CDATA[Iaşi, Rumunjska, 2007.. (https://www.bib.irb.hr:8443/354971) (pozvano predavanje, pp prezentacija, znanstveni)
]]>          <w:br/>
        </w:t>
      </w:r>
    </w:p>
    <w:p>
      <w:pPr/>
      <w:r>
        <w:rPr/>
        <w:t xml:space="preserve">
<![CDATA[Godinović, Nikola
]]>          <w:br/>
<![CDATA[Uniformity measurements across the area of the multi-cell avalanche photodiodes.  // LIGHT07 - Workshop on teh Latest Development on Photon Detector
]]>          <w:br/>
<![CDATA[Tegernsee, Njemačka, 2007.. (https://www.bib.irb.hr:8443/354946)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Godinović, Nikola
]]>          <w:br/>
<![CDATA[Kako otkrivamo tajne svemira?., 2009. (podatak o recenziji nije dostupan, popularni rad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2025-05-02T17:01:57+00:00</dcterms:created>
  <dcterms:modified xsi:type="dcterms:W3CDTF">2025-05-02T17:01:57+00:00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