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 stabilnosti karbokationa, njihove strukture i biomimetska pregrađivanja  (MZOS-006-0982933-2963)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ade, Tena; Vrček, Valerije
]]>          <w:br/>
<![CDATA[Reactivity of Amines with Hypochlorous Acid. Computational Study of Steric, Electronic, and Medium Effects..  // International journal of quantum chemistry, 113 (2013), 7;  881-890 doi:10.1002/qua.24007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Vrček, Valerije; Zipse, Hendrik
]]>          <w:br/>
<![CDATA[Rearrangemements in Piperidine-Derived Nitrogen-Centered Radicals. A Quantum-Chemical Study.  // Journal of Organic Chemistry, 74 (2009), 8;  2947-2957 doi:10.1021/jo900349e (međunarodna recenzija, članak, znanstveni)
]]>          <w:br/>
        </w:t>
      </w:r>
    </w:p>
    <w:p>
      <w:pPr/>
      <w:r>
        <w:rPr/>
        <w:t xml:space="preserve">
<![CDATA[Šarić, Anđela; Vrček, Valerije; Buhl, Michael
]]>          <w:br/>
<![CDATA[Density Functional Study of Protonated Formylmetallocenes.  // Organometallics, 27 (2008), 3;  394-401. (https://www.bib.irb.hr:8443/323688)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Saunders, Martin; Wolfsberg, Max; Anet, Frank; Kronja, Olga
]]>          <w:br/>
<![CDATA[A Steric Deuterium Isotope Effect in 1, 1, 3, 3-Tetramethylcyclohexane.  // Journal of the American Chemical Society, 129 (2007), 33;  10276-10281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323691) (međunarodna recenzija, članak, znanstveni)
]]>          <w:br/>
        </w:t>
      </w:r>
    </w:p>
    <w:p>
      <w:pPr/>
      <w:r>
        <w:rPr/>
        <w:t xml:space="preserve">
<![CDATA[Vrček, Valerije
]]>          <w:br/>
<![CDATA[DFT study of rearrangements in cyclopentylheptenyl carbocations.  // International Journal of Quantum Chemistry, 107 (2007), 8;  1772-1781. (https://www.bib.irb.hr:8443/3236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