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Tkalec; Tamara
]]>          <w:br/>
<![CDATA[1,3-Interakcija u metil-supstituiranim cikloheksenilnim kationim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