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ncer, Ivan
]]>          <w:br/>
<![CDATA[Morsko brodarstvo. // Hrvatska u 21. stoljeću-Pomorstvo / Kesić, Blanka (ur.).
]]>          <w:br/>
<![CDATA[Zagreb: Ured za strategiju razvitka Republike Hrvatske, 2001. str. 35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>
      <w:pPr/>
      <w:r>
        <w:rPr/>
        <w:t xml:space="preserve">
<![CDATA[Crnković-Stumpf, Branka
]]>          <w:br/>
<![CDATA[The Influence of Evaluation Factors on an Enterprise's Value.  // Zbornik radova Ekonomskog fakulteta u Rijeci, časopis za ekonomsku teoriju i praksu, XIX (2001), 2;  53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and Marketing-the Influences in Defining a Maritime Transport Organizations&#39;Strategy.  // Zbornik referatov: 5. Mednarodno znanstveno-strokovno posvetovanje o prometni znanosti / Matej, David (ur.).
]]>          <w:br/>
<![CDATA[Portorož: Fakulteta za pomorstvo in promet, 2002. str. 188-202 (predavanje, međunarodn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