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Smerdel, Branko
]]>          <w:br/>
<![CDATA[Political Ethics and the Rule of Law.  // Croatian critical law review, 4 (1999)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