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Gabrić (CROSBI Profil: 9371, MBZ: 87576)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c, Maja; Pauk Gulic, Maja; Biscevic, Alma; Gabric, Ivan
]]>          <w:br/>
<![CDATA[Surgical Correction of Myopia. // Intraocular Lens / Xiaogang, Wang (ur.).
]]>          <w:br/>
<![CDATA[London : Delhi: IntechOpen, 2020. 85644, 21 doi:10.5772/intechopen.856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Pjano, Melisa; Biščevic, Alma; Griševic, Senad; Gabrić, Ivan; Salkica, Ajla; Ziga, Nina
]]>          <w:br/>
<![CDATA[Pachymetry and Elevation Back Map Changes in Keratoconus Patients After Crosslinking Procedure.  // Medical Archives, 74 (2020), 2;  105-108 doi:10.5455/medarh.2020.74.105-108 (recenziran, članak, znanstveni)
]]>          <w:br/>
        </w:t>
      </w:r>
    </w:p>
    <w:p>
      <w:pPr/>
      <w:r>
        <w:rPr/>
        <w:t xml:space="preserve">
<![CDATA[Šimić, Branimir; Gabrić, Ivan; Volenik, Stanislav
]]>          <w:br/>
<![CDATA[Proizvodnja sjemena hibridnog kukuruza u Republici Hrvatskoj.  // Sjemenarstvo, 20 (2003), 3-4;  125-130. (https://www.bib.irb.hr:8443/165538) (podatak o recenziji nije dostupan, pism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br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