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Udovičić (CROSBI Profil: 7754, MBZ: 50970)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84181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