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7074, MBZ: 36915)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