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Kejla (CROSBI Profil: 6513, MBZ: 26341)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Kejla, Zvonko
]]>          <w:br/>
<![CDATA[Spondiloliza i spondilolisteza..  // Medix., 49 (2003),  90-93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Somun, Nenad; Kvesić, Dražen; Kejla , Zvonko; Buljat, Gojko; Perović, Darko.
]]>          <w:br/>
<![CDATA[Prijelomi kralješnice kod osteoporoze.  // Medix, 49 (2003),  104-107 (podatak o recenziji nije dostupan, članak, stručni)
]]>          <w:br/>
        </w:t>
      </w:r>
    </w:p>
    <w:p>
      <w:pPr/>
      <w:r>
        <w:rPr/>
        <w:t xml:space="preserve">
<![CDATA[Kejla, Zvonko
]]>          <w:br/>
<![CDATA[Trzajna ozljeda vrata..  // Medix : specijalizirani medicinski dvomjesečnik, 46-47 (2003),  50-54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