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Pavletić (CROSBI Profil: 6341, MBZ: 247473)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timac, Davor; Pavletić, Martina
]]>          <w:br/>
<![CDATA[Dio III, pogl.24: Lijekovi i jetra ; Dio III, pogl.25: Alkoholna bolest jetre ; Dio III, pogl.28: Oštećenje krvožilnog sustava jetre ; Dio III, pogl.30: Bolesti žučnog mjehura i žučnih vodova. // MSD priručnik dijagnostike i terapije - drugo hrvatsko izdanje / Ivančević, Željko ; Rumboldt, Zvonko ; Bergovec, Mijo ; Silobrčić, Vlatko ; Kuzman, Ilija ; Štimac, Davor ; Tonkić, Ante (ur.).
]]>          <w:br/>
<![CDATA[Split: Placebo, 2010. str. 207 ; 231 ; 240-214 ; 235 ; 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avletić Peršić, Martina; Rački, Sanjin
]]>          <w:br/>
<![CDATA[Znanost temeljena na dokazima u nefrologiji, dijalizi i transplantaciji bubrega.  // Medicina Fluminensis : Medicina Fluminensis, 53 (2017), 4;  495-501 (podatak o recenziji nije dostupan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Vlahović, Ana; Rački, Sanjin; Pavletić, Martina; Hrabrić, Snježana, Orlić, Petar
]]>          <w:br/>
<![CDATA[C2 monitoring ciklosporina - kliničko značenje u procjeni sigurnosti i učinkovitosti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