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Palac Bešlić (CROSBI Profil: 42268)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