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Bobinac (CROSBI Profil: 40530, ORCID: 0000-0001-8366-8150)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Martina
]]>          <w:br/>
<![CDATA[Opatovina 33: Kuća Barić. // Program cjelovite obnove povijesne urbane cjeline Grada Zagreba. Gornji grad (Blok 11) i Kaptol (Opatovina) / Horvat-Levaj, Katarina (ur.).
]]>          <w:br/>
<![CDATA[Zagreb: Institut za povijest umjetnosti, 2022. str. 229-234
]]>          <w:br/>
        </w:t>
      </w:r>
    </w:p>
    <w:p>
      <w:pPr/>
      <w:r>
        <w:rPr/>
        <w:t xml:space="preserve">
<![CDATA[Bobinac, Martina
]]>          <w:br/>
<![CDATA[Opatovina 31: Kuća Urban. // Program cjelovite obnove povijesne urbane cjeline Grada Zagreba. Gornji grad (Blok 11) i Kaptol (Opatovina) / Horvat-Levaj, Katarina (ur.).
]]>          <w:br/>
<![CDATA[Zagreb: Institut za povijest umjetnosti, 2022. str. 223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inac, Martina; Lovrenčić, Lana; Vidović, Iva
]]>          <w:br/>
<![CDATA[Konferencija o budućnosti Europe – susreti u Institutu.  // Kvartal : kronika povijesti umjetnosti u Hrvatskoj, XII- 1/2-2022 (2022),  156-16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binac, Martina
]]>          <w:br/>
<![CDATA[Hidden in Plain Sight- The Case of Sisak Concentration Camp for Children.  // Radical heritage: Tracing resistance in (post)socialist Europe
]]>          <w:br/>
<![CDATA[Zagreb, Hrvatska, 2022. str. 16-17 (predavanje, međunarodna recenzija, sažetak, znanstveni)
]]>          <w:br/>
        </w:t>
      </w:r>
    </w:p>
    <w:p>
      <w:pPr/>
      <w:r>
        <w:rPr/>
        <w:t xml:space="preserve">
<![CDATA[Bobinac, Martina
]]>          <w:br/>
<![CDATA[Studija slučaja: naselje Retkovec kao primjer hitnog planiranja u 2. polovici 20. stoljeća.  // 5. kongres hrvatskih povjesničara umjetnosti / Horvat Levaj, Katarina ; Sekelj, Sanja ; Plosnić Škarić, Ana (ur.).
]]>          <w:br/>
<![CDATA[Zagreb, Hrvatska, 2022. str. 88-8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Bobinac, Martina
]]>          <w:br/>
<![CDATA[La peinture à l’huile : stratigraphie, dégradations, techniques d’analyse. Travail terminographique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