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Simetić (CROSBI Profil: 40158, ORCID: 0000-0003-2328-167X, OBAD: -400031)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Thallinger, Christiane; Berzinec, Peter; Bicakcic, Emina; Dan, Adelina; Fabian, Gabriella; Gales, Laurentia Nicoletta; Kuhar, Cvetka Grasic; Janzic, Urska; Kahan, Zsusanna; Mencinger, Marina et al.
]]>          <w:br/>
<![CDATA[Establishment of a virtual transborder tumor board for cancer patients in Central and Southeastern Europe.  // Wiener klinische Wochenschrift, 2022 Mar 21 (2022),  1-8 doi:10.1007/s00508-022-02016-z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