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Tica Sedlar (CROSBI Profil: 39882)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ca Sedlar, Ivana; Petrić Miše, Branka
]]>          <w:br/>
<![CDATA[Metastatic recurrent andometrial cancer: A case report.  // Libri oncologici : Croatian journal of oncology, 18 (2020), 1;  44-44 (međunarodna recenzija, članak, znanstveni)
]]>          <w:br/>
        </w:t>
      </w:r>
    </w:p>
    <w:p>
      <w:pPr/>
      <w:r>
        <w:rPr/>
        <w:t xml:space="preserve">
<![CDATA[Tomić, Krešimir; Tica Sedlar, Ivana; Berić Jozić, Gordana; Marijanović, Inga; Lukić, Blanka; Miletić, Dragana; Puljić Ćuk, Ana
]]>          <w:br/>
<![CDATA[Complete Response of Metastatic Melanoma to Second Line Chemotherapy with Paclitaxel and Carboplatin - Case Report.  // Acta Medica Academica, 47 (2018), 1;  82-87 doi:10.5644/ama2006-124.217 (međunarodna recenzija, pregledni rad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Tica Sedlar, Ivana; Čale, Sanda; Parić, Ana; Perić, Marija; Jurčić, Jasna; Vrdoljak, Eduard
]]>          <w:br/>
<![CDATA[Factors influencing pain therapy for metastatic cancer patients in Bosnia and Herzegovina.  // Acta Medica Academica, 45 (2016), 2;  96-112 doi:10.5644/ama2006-124.166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