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Paripović (CROSBI Profil: 3729, MBZ: 166892)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van Stralen, K.J.; ...; Batinić, Danica; ... : Paripović, Đuro; ...; Inward C.
]]>          <w:br/>
<![CDATA[Prevalence and predictors of the sub-target Hb level in children on dialysis.  // Nephrology, dialysis, transplantation, 27 (2012), 10;  3950-3957 doi:10.1093/ndt/gfs178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van Stralen, K.J.; ...; Batinić, Danica; Paripović, Đuro; ...; Tromp, W.F.
]]>          <w:br/>
<![CDATA[Demographics of paediatric renal replacement therapy in Europe : 2007 annual report of the ESPN/ERA-EDTA registry.  // Pediatric nephrology, 25 (2010), 7;  1379-1382 doi:10.1007/s00467-010-1472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