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Nikles (CROSBI Profil: 37295, OBAD: -356738)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les, Iva; Veliki Dalić, Irena; Nikles, Sven; Vuković, Petra; Raguž, Jelena; Lonjak, Nikolina; Šeparović, Robert
]]>          <w:br/>
<![CDATA[Prognostic value of lymphovascular invasion (LVI) in breast cancer patients with clinically node-negative axilla.  // Libri oncologici
]]>          <w:br/>
<![CDATA[Varaždin, Hrvatska, 2017. str. 36-3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