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Aljinović (CROSBI Profil: 3652, MBZ: 165483)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