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Ganoci (CROSBI Profil: 36158, MBZ: 382855, ORCID: 0000-0003-3898-4554)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oci, Lana; Božina, Nada
]]>          <w:br/>
<![CDATA[Farmakogenomika u psihijatriji. // Farmakogenomika u personaliziranoj medicini / Božina, Nada (ur.).
]]>          <w:br/>
<![CDATA[Zagreb: Medicinska naklada, 2019. str. 85-114
]]>          <w:br/>
        </w:t>
      </w:r>
    </w:p>
    <w:p>
      <w:pPr/>
      <w:r>
        <w:rPr/>
        <w:t xml:space="preserve">
<![CDATA[Božina, Nada; Ganoci, Lana; Šimičević, Livija
]]>          <w:br/>
<![CDATA[Farmakogenetika/farmakogenomika u personaliziranoj medicini. // Farmakogenomika u personaliziranoj medicini / Božina, Nada (ur.).
]]>          <w:br/>
<![CDATA[Zagreb: Medicinska naklada, 2019. str. 1-34
]]>          <w:br/>
        </w:t>
      </w:r>
    </w:p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Božina, Nada; Pejnović, Lana
]]>          <w:br/>
<![CDATA[Nove farmakogenetičke smjernice u kliničkoj praksi.  // Novi trendovi i mogućnosti u individualizaciji terapije
]]>          <w:br/>
<![CDATA[Zagreb, Hrvatska, 2012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Nada; Ganoci, Lana
]]>          <w:br/>
<![CDATA[Pharmacogenetics in the treatment of cardiovascular diseases - is it cost-effective?.  // ESHG Pharmacogenetics Course, Portorož, Slovenija, 22-24.09.2022. Book of Abstracts, 2022
]]>          <w:br/>
<![CDATA[Portorož, Slovenija, 2022. str. 18-18 (pozvano predavanje, međunarodn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noci, L.; Lešnjaković, L.; Šimičević, L.; Palić, J.; Mucalo, I.; Božina, N.
]]>          <w:br/>
<![CDATA[DPYD haplotype structure for variants *2A, *13, c.2846A>T, c.1236G>A/HapB3, c.496A>G (rs2297595), *6 (rs1801160) and *9A (rs1801265) in the Croatian population.  // European Human Genetics Conference ; Hybrid Conference
]]>          <w:br/>
<![CDATA[Glasgow, Ujedinjeno Kraljevstvo, 2023. str. /-/ (poster, podatak o recenziji nije dostupan, sažetak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smanović, Dora
]]>          <w:br/>
<![CDATA[Genotipizacija CYP2C9 u kliničkoj praksi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2025-05-02T01:06:38+00:00</dcterms:created>
  <dcterms:modified xsi:type="dcterms:W3CDTF">2025-05-02T01:06:38+00:00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