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Bolčić (CROSBI Profil: 33485, MBZ: 355686)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ušić, Marija
]]>          <w:br/>
<![CDATA[Rasprostranjenost crvene palmine pipe (Rynchophorus ferrugineus) u Hrvatskoj u 2014. godini., 2014., diplomski rad, diplomski, Agronomski fakultet, Zagreb
]]>          <w:br/>
        </w:t>
      </w:r>
    </w:p>
    <w:p>
      <w:pPr/>
      <w:r>
        <w:rPr/>
        <w:t xml:space="preserve">
<![CDATA[Mandušić, Marija
]]>          <w:br/>
<![CDATA[Maslinina muha (Bactrocera oleae Gmel.) i maslinin moljac (Prays oleae Bern.) – ekonomski najznačajniji štetnici masline., 2011., diplomski rad, preddiplomski,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