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Macenić (CROSBI Profil: 32512, MBZ: 345211)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Kalantar, Adib; Macenić, Marija; Hranić, Josipa
]]>          <w:br/>
<![CDATA[Investigation of Steady-State Heat Extraction Rates for Different Borehole Heat Exchanger Configurations from the Aspect of Implementation of New TurboCollector™ Pipe System Design.  // Energies, 12 (2019), 8;  1-17 doi:10.3390/en12081504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