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Mraković (CROSBI Profil: 30836, MBZ: 330526)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776457) (podatak o recenziji nije dostupan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777862)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1148133) (predavanje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1145397) (poster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1011797) (predavanje, međunarodn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921961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šić, Ana
]]>          <w:br/>
<![CDATA[Comparison of the motor abilities between primary school children from two countries., 2017., diplomski rad, diplomski, Učiteljski fakultet, Zagreb
]]>          <w:br/>
        </w:t>
      </w:r>
    </w:p>
    <w:p>
      <w:pPr/>
      <w:r>
        <w:rPr/>
        <w:t xml:space="preserve">
<![CDATA[Radmanić, Ana
]]>          <w:br/>
<![CDATA[Brain Gym u primarnom obrazovanju., 2016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Polančec, Valentina
]]>          <w:br/>
<![CDATA[Metodički organizacijski oblici rada u funkciji intenzifikacije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Zelić, Morana
]]>          <w:br/>
<![CDATA[Aerobika za djecu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