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Žalac (CROSBI Profil: 30186, MBZ: 171772)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Žalac, Suzana; Khan, M. Zahir I., Gabelica, Vesna; Tuđa, Marijan; Meštrović, Ernest; Romih, Mira
]]>          <w:br/>
<![CDATA[Paracetamol-propyphenazone interaction and formulation difficulties associated with eutectic formation in combination solid dosage forms.  // Chemical &#38; Pharmaceutical Bulletin, 47 (1999), 3;  302-307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Horvat, Michaela; Meštrović, Ernest; Žalac, Suzana
]]>          <w:br/>
<![CDATA[DIFRAKCIJSKA RENTGENSKA ANALIZA PRAHA SMJESE PARACETAMOLA I PROPIFENAZO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i., 2004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na kemija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