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Vojniković (CROSBI Profil: 29347, MBZ: 132754)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imunović, VJ; Sonntag, H.-G.; Hren, D.; Doerup, J.; Krivokuća, Z.; Bokonjić, D.; Verhaaren, H.; Horsh, A.; Mimica, M.; Vojniković, B. et al.
]]>          <w:br/>
<![CDATA[Bridging the educational gaps between Eastern and Western European medical schools through a comprehensive assessment of medical schools in Bosnia and Herzegovina..  // Medical Education, 40 (2006),  1162-1172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>
      <w:pPr/>
      <w:r>
        <w:rPr/>
        <w:t xml:space="preserve">
<![CDATA[Vojniković, Božidar; Brncić, N.; Zamolo, Gordana; Budiselić, R.; Njirić, S.; Novak, Srđan
]]>          <w:br/>
<![CDATA[Severe Trichinellosis cured with pulse doses of glucocorticoids.  // Collegium antropologicum, 25 (2001), S1;  131-135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