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Trgo (CROSBI Profil: 28679, MBZ: 287365)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Trgo, Gorana; Tonkić, Ante; Šimunić, Miroslav; Puljiz, Željko
]]>          <w:br/>
<![CDATA[Successful endoscopic removal of a lighter swallowed 17 months before.  // Case reports in gastroenterology, 6 (2012), 2;  238-242 doi:10.1159/000338839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Milostić, Kazimir; Tomić, Snježana; Trgo, Gorana; Olujić, I
]]>          <w:br/>
<![CDATA[Influence of Differentiation Grade Expressed by Gleason Score on Survival in Prostate Cancer Patients.  // Acta Clinica Croatica 41(2) / Šerić, Vesna (ur.).
]]>          <w:br/>
<![CDATA[Zagreb: Sestre milosrdnice University Hospital Center, 2002. str. 171-171 (poster, domaća recenzija, sažetak, ostalo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