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Tomec (CROSBI Profil: 28476, MBZ: 74116)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c, Marija
]]>          <w:br/>
<![CDATA[Fizikalno-kemijske i biološke karakteristike šaranskih ribnjaka.  // Ribarstvo : znanstveno-stručni časopis za ribarstvo, 55 (1997), 4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c, Marija
]]>          <w:br/>
<![CDATA[Fizikalno-kemijske i biološke karakteristike voda ciprinidnih ribnjaka.  // Hrvatski veterinarski vjesnik, 3 (1995), 3-4;  15-22 (podatak o recenziji nije dostupan, struč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
]]>          <w:br/>
<![CDATA[Fitoplankton - pokazatelj kakvoće vode jezera Vrana (otok Cres).  // 7. stručni sastanak laboratorija ovlaštenih za ispitivanje voda : knjiga sažetaka / Ledecki, Zlatko ; Širac, Siniša ; Raspor, Biserka (ur.).
]]>          <w:br/>
<![CDATA[Zagreb: Državna uprava za vode, 2001. str. 55-56 (predavanje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