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Matijašić (CROSBI Profil: 25162, MBZ: 315682)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ić, Mario; Miljković, Petar; Valdec, Dean
]]>          <w:br/>
<![CDATA[Utjecaj transferne folije na kvalitetu reprodukcije u vodenom tisku.  // Zbornik radova / Proceedings "Blaž Baromić 2018 / Mikota, Miroslav (ur.).
]]>          <w:br/>
<![CDATA[Zagreb: Hrvatsko društvo grafičara, Hrvatska / Croatian Society of Graphic Artists, Croatia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845397) (pozvano predavanje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712539) (plenarno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