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Bonevski (CROSBI Profil: 24960, MBZ: 318180)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