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Uzelac (CROSBI Profil: 23468, MBZ: 274686)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