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Krakar (CROSBI Profil: 22836, MBZ: 277103)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Žutelija Fattorini, Matija; Gagro, Alenka; Đapić, Tomislav; Krakar, Goran; Marjanović, Josip
]]>          <w:br/>
<![CDATA[Neurogenic muscle hypertrophy in a 12-year-old girl.  // Brain & development (Tokyo), 39 (2017), 1;  89-92 doi:10.1016/j.braindev.2016.07.002 (međunarodna recenzija, kratko priopcenje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nica, Maša; Kukuruzović, Monika; Bitanga, Suzana; Krakar, Goran, Valent, Bernardica; Cvitanović-Šojat Ljerka
]]>          <w:br/>
<![CDATA[Identična mutacija povezana s različitim fenotipom Friedreichove ataksije.  // Paediatria Croatica, 58 (2014),  291-294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