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Jelisavac Ćosić (CROSBI Profil: 22681, MBZ: 280163)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