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Gornik (CROSBI Profil: 21327, MBZ: 293134)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Niven, D.J.; ...; Gornik, Ivan; Degoricija, Vesna; ...; El Houfi, Ashraf
]]>          <w:br/>
<![CDATA[Diagnosis and management of temperature abnormality in ICUs : a EUROBACT investigators' survey.  // Critical care, 10 (2013), 6;  R289-1 doi:10.1186/cc1315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302229)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497864)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