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Dragičević (CROSBI Profil: 20690, MBZ: 93233)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989523) (pozvano 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989520)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325684) (poster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1248146) (poster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Dragičević, Ivan; Mayer, Dako; Pavelić, Davor; Vranjković, Alan
]]>          <w:br/>
<![CDATA[Geološki odnosi i recentna sedimentacija u Parku prirode „Kopački rit“.  // Zbornik sažetaka znanstveno-stručnog skupa / Ozimec, Siniša ; Bolšec, Boris ; Mikulić, Davor ; Rožac, Vlatko (ur.).
]]>          <w:br/>
<![CDATA[Bilje: Javna ustanova "Park prirode Kopački rit", 2012. str. 8-9 (predavanje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531941)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492420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