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Bilić (CROSBI Profil: 19113, MBZ: 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Kraljević, Radojka; Filipović, Zrinka; Bilić, Irena
]]>          <w:br/>
<![CDATA[Interkulturalna otvorenost : izazov ili nužnost u međunarodnoj suradn ji.  // Zbornik sveučilišta Libertas, 3 (2018), 3;  317-32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Ivelić, Jelena; Parlov, Natalija; Bilić, Irena
]]>          <w:br/>
<![CDATA[Building knowledge without sacrificing social justice: beyond productive aging and productive engagement.  // Radovi šeste međunarodne znanstveno-stručne konferencije: Kreativno liderstvo / Rosić, Vladimir (ur.).
]]>          <w:br/>
<![CDATA[Rijeka: Visoka poslovna škola PAR, 2017. str. 184-208. (https://www.bib.irb.hr:8443/1133263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ilic, I.; Kosta, V.
]]>          <w:br/>
<![CDATA[Nonspecific low back pain as initial presentation of Morvan's syndrome successfully treated with therapeutic plasma exchange.  // JOURNAL OF THE NEUROLOGICAL SCIENCES 405 (Suppement)
]]>          <w:br/>
<![CDATA[Dubai, Ujedinjeni Arapski Emirati: Elsevier BV, 2019. str. 157-158 doi:10.1016/j.jns.2019.10.1077 (poster, međunarodna recenzija, prošireni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