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Kvastek (CROSBI Profil: 18417, MBZ: 25066)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spect of graphite and glassy carbon electrodes in redox electrolyte.  // 5th regional symposium on electrochemistry, south-east europe, Book of abstracts
]]>          <w:br/>
<![CDATA[Pravets, Bugarska, 2015. str. 70-70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mposium on Electrochemical Impedance Analysis, Book of Abstracts
]]>          <w:br/>
<![CDATA[Borovec, Bugarska, 2014. str. 14-14 (pozvano 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