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Heinzl (CROSBI Profil: 16766, MBZ: 225136)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einzl, Renata
]]>          <w:br/>
<![CDATA[Evaluacija apoptoze u različitim vrstama hiperplazije prostat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