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Burić (CROSBI Profil: 15263, MBZ: 201751)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Tonči
]]>          <w:br/>
<![CDATA[Putalj u srednjem vijeku. // Sv. Juraj od Putalja / Milošević, Ante (ur.)., 2001. str. 91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Tonči
]]>          <w:br/>
<![CDATA[Predromanička skulptura iz crkve Sv. Spasa na Cetini.  // Starohrvatska prosvjeta, 101 (1995), 22;  91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Tonči
]]>          <w:br/>
<![CDATA[Predromaničke oltarne ograde-vijek uporabe i sekundarna namjena.  // Starohrvatska prosvjeta, 1 (1998), 25;  57-76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
<![CDATA[Burić, Tonči
]]>          <w:br/>
<![CDATA[Putalj., 1998. (podatak o recenziji nije dostupan, katalog).
]]>          <w:br/>
        </w:t>
      </w:r>
    </w:p>
    <w:p>
      <w:pPr/>
      <w:r>
        <w:rPr/>
        <w:t xml:space="preserve">
<![CDATA[Burić, Tonči
]]>          <w:br/>
<![CDATA[Bribir, srednjovjekovno sijelo Šubić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