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Manojlović (CROSBI Profil: 14091, MBZ: 177872)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