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Pešić (CROSBI Profil: 13648, MBZ: 167283)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Benedetti, Fabio; Magnan, Monica; Miertus Stanislav; Norbedo, Stefano; Parat, Dijana; Tossi, Alessandro
]]>          <w:br/>
<![CDATA[Stereoselective synthesis of non symmetric dihydroxyethylene dipeptide isosteres.  // Bioorganic & medicinal chemistry letters, 9 (1999),  3027-3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rat, Dijana
]]>          <w:br/>
<![CDATA[Stereoselctive synthesis of dihydroxyethylene dipeptide isosteres- core units of HIV-1 protease inhibitors., 1998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