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Štula (CROSBI Profil: 11735, MBZ: 116194)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