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Franić (CROSBI Profil: 10951, MBZ: 334115)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Mario; Galić, Vlatko
]]>          <w:br/>
<![CDATA[As, Cd, Cr, Cu, Hg: Physiological Implications and Toxicity in Plants. // Plant Metallomics and Functional Omics / Sablok, Gaurav (ur.).
]]>          <w:br/>
<![CDATA[Cham: Springer, 2019. str. 209-253 doi:10.1007/978-3-030-19103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Kmecl, Veronika; Žnidarčič, Dragan; Franić, Mario; Goreta Ban, Smiljana
]]>          <w:br/>
<![CDATA[Nitrate and nitrite contamination of vegetables in the Slovenian market.  // Food Additives & Contaminants Part B-Surveillance, 12 (2019), 3;  216-223 doi:10.1080/19393210.2019.1600589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