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Brumec (CROSBI Profil: 10896, MBZ: 264461)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roški, Mirela
]]>          <w:br/>
<![CDATA[Diseminacija, eksploatacija i održivost. // Projekti u znanosti i razvoju. Europski programi / Divajk, Blaženka (ur.).
]]>          <w:br/>
<![CDATA[Varaždin: Fakultet organizacije i informatike Sveučilišta u Zagrebu, 2009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Divjak, Blaženka; Erjavec, Zlatko; Ostroški, Mirela
]]>          <w:br/>
<![CDATA[Matematika i e-učenje na Fakultetu organizacije i informatike.  // Treći kongres nastavnika matematike, Zbornik radova / Ivanšić, Ivan (ur.).
]]>          <w:br/>
<![CDATA[Zagreb: Hrvatsko matematičko društvo i Školska knjiga, 2008. str. 59-6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