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Turković (CROSBI Profil: 10770, MBZ: 55593)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6-86 (plenarno, međunarodna recenzija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Naturally occurring peptides for gastroprotection: 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5-85 (plenarno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